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729" w:rsidRPr="00D01FDB" w:rsidRDefault="00077729" w:rsidP="00077729">
      <w:pPr>
        <w:spacing w:beforeLines="50" w:before="156" w:afterLines="50" w:after="156"/>
        <w:jc w:val="center"/>
        <w:rPr>
          <w:rFonts w:ascii="黑体" w:eastAsia="黑体" w:hAnsi="黑体"/>
          <w:b/>
          <w:sz w:val="28"/>
          <w:szCs w:val="28"/>
        </w:rPr>
      </w:pPr>
      <w:r w:rsidRPr="00D01FDB">
        <w:rPr>
          <w:rFonts w:ascii="黑体" w:eastAsia="黑体" w:hAnsi="黑体" w:cs="Times New Roman"/>
          <w:b/>
          <w:sz w:val="24"/>
        </w:rPr>
        <w:t>上海理工大学</w:t>
      </w:r>
      <w:r w:rsidRPr="00D01FDB">
        <w:rPr>
          <w:rFonts w:ascii="黑体" w:eastAsia="黑体" w:hAnsi="黑体" w:cs="Times New Roman" w:hint="eastAsia"/>
          <w:b/>
          <w:sz w:val="24"/>
        </w:rPr>
        <w:t>“林建华奖学金”--“智育”奖学金评选细则</w:t>
      </w:r>
    </w:p>
    <w:p w:rsidR="00077729" w:rsidRDefault="00077729" w:rsidP="007C6C72">
      <w:pPr>
        <w:spacing w:line="44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为完整、准确地实施《上海理工大学“林建华奖学金”条例》，进一步加强学风建设，激发学生学习的积极性和主动性，明确学习目标、立志成才，结合我院实际情况，特制定《上海理工大学“林建华奖学金”--</w:t>
      </w:r>
      <w:r>
        <w:rPr>
          <w:rFonts w:ascii="仿宋_GB2312" w:eastAsia="仿宋_GB2312" w:hAnsi="仿宋_GB2312" w:cs="仿宋_GB2312" w:hint="eastAsia"/>
          <w:sz w:val="22"/>
          <w:szCs w:val="24"/>
        </w:rPr>
        <w:t>“</w:t>
      </w:r>
      <w:r w:rsidRPr="00034898">
        <w:rPr>
          <w:rFonts w:ascii="仿宋_GB2312" w:eastAsia="仿宋_GB2312" w:hAnsi="仿宋_GB2312" w:cs="仿宋_GB2312" w:hint="eastAsia"/>
          <w:sz w:val="22"/>
          <w:szCs w:val="24"/>
        </w:rPr>
        <w:t>智</w:t>
      </w:r>
      <w:r w:rsidRPr="00320480">
        <w:rPr>
          <w:rFonts w:ascii="仿宋_GB2312" w:eastAsia="仿宋_GB2312" w:hAnsi="仿宋_GB2312" w:cs="仿宋_GB2312" w:hint="eastAsia"/>
          <w:sz w:val="22"/>
          <w:szCs w:val="24"/>
        </w:rPr>
        <w:t>育</w:t>
      </w:r>
      <w:r w:rsidRPr="00034898">
        <w:rPr>
          <w:rFonts w:ascii="仿宋_GB2312" w:eastAsia="仿宋_GB2312" w:hAnsi="仿宋_GB2312" w:cs="仿宋_GB2312" w:hint="eastAsia"/>
          <w:sz w:val="22"/>
          <w:szCs w:val="24"/>
        </w:rPr>
        <w:t>”奖学金评选细则》，奖项设置、申请条件及奖金额度如下：</w:t>
      </w:r>
    </w:p>
    <w:p w:rsidR="00077729" w:rsidRPr="00034898" w:rsidRDefault="00077729" w:rsidP="00077729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一、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申请条件</w:t>
      </w:r>
    </w:p>
    <w:p w:rsidR="00077729" w:rsidRPr="00034898" w:rsidRDefault="00077729" w:rsidP="007C6C72">
      <w:pPr>
        <w:spacing w:line="44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凡在我院接受学历教育的本科生、研究生均有权申请奖学金。</w:t>
      </w:r>
      <w:r>
        <w:rPr>
          <w:rFonts w:ascii="仿宋_GB2312" w:eastAsia="仿宋_GB2312" w:hAnsi="仿宋_GB2312" w:cs="仿宋_GB2312" w:hint="eastAsia"/>
          <w:sz w:val="22"/>
          <w:szCs w:val="24"/>
        </w:rPr>
        <w:t>并要</w:t>
      </w:r>
      <w:r w:rsidRPr="00034898">
        <w:rPr>
          <w:rFonts w:ascii="仿宋_GB2312" w:eastAsia="仿宋_GB2312" w:hAnsi="仿宋_GB2312" w:cs="仿宋_GB2312" w:hint="eastAsia"/>
          <w:sz w:val="22"/>
          <w:szCs w:val="24"/>
        </w:rPr>
        <w:t>做到：</w:t>
      </w:r>
    </w:p>
    <w:p w:rsidR="00077729" w:rsidRPr="00034898" w:rsidRDefault="00077729" w:rsidP="007C6C72">
      <w:pPr>
        <w:spacing w:line="44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（一）热爱祖国，拥护党的路线、方针、政策，具有良好的政治素质和品德修养；</w:t>
      </w:r>
    </w:p>
    <w:p w:rsidR="00077729" w:rsidRPr="00034898" w:rsidRDefault="00077729" w:rsidP="007C6C72">
      <w:pPr>
        <w:spacing w:line="44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（二）积极进取，刻苦学习，学习成绩良好；</w:t>
      </w:r>
    </w:p>
    <w:p w:rsidR="00077729" w:rsidRPr="00034898" w:rsidRDefault="00077729" w:rsidP="007C6C72">
      <w:pPr>
        <w:spacing w:line="44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（三）遵纪守法，维护社会公德，自觉遵守大学生行为准则，遵守学校有关规章制度，有较强的集体荣誉感。</w:t>
      </w:r>
      <w:bookmarkStart w:id="0" w:name="_GoBack"/>
      <w:bookmarkEnd w:id="0"/>
    </w:p>
    <w:p w:rsidR="00077729" w:rsidRPr="00034898" w:rsidRDefault="00077729" w:rsidP="007C6C72">
      <w:pPr>
        <w:spacing w:afterLines="50" w:after="156"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二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、奖项设置</w:t>
      </w:r>
    </w:p>
    <w:tbl>
      <w:tblPr>
        <w:tblStyle w:val="aa"/>
        <w:tblW w:w="6804" w:type="dxa"/>
        <w:jc w:val="center"/>
        <w:tblLayout w:type="fixed"/>
        <w:tblLook w:val="04A0" w:firstRow="1" w:lastRow="0" w:firstColumn="1" w:lastColumn="0" w:noHBand="0" w:noVBand="1"/>
      </w:tblPr>
      <w:tblGrid>
        <w:gridCol w:w="1700"/>
        <w:gridCol w:w="1701"/>
        <w:gridCol w:w="1701"/>
        <w:gridCol w:w="1702"/>
      </w:tblGrid>
      <w:tr w:rsidR="00077729" w:rsidRPr="00F67596" w:rsidTr="003E68D9">
        <w:trPr>
          <w:jc w:val="center"/>
        </w:trPr>
        <w:tc>
          <w:tcPr>
            <w:tcW w:w="1700" w:type="dxa"/>
            <w:vAlign w:val="center"/>
          </w:tcPr>
          <w:p w:rsidR="00077729" w:rsidRPr="00F67596" w:rsidRDefault="00077729" w:rsidP="003E68D9">
            <w:pPr>
              <w:spacing w:line="440" w:lineRule="exact"/>
              <w:jc w:val="center"/>
              <w:rPr>
                <w:rFonts w:ascii="黑体" w:eastAsia="黑体" w:hAnsi="黑体" w:cs="仿宋_GB2312"/>
                <w:sz w:val="22"/>
                <w:szCs w:val="24"/>
              </w:rPr>
            </w:pPr>
            <w:r w:rsidRPr="00F67596">
              <w:rPr>
                <w:rFonts w:ascii="黑体" w:eastAsia="黑体" w:hAnsi="黑体" w:cs="仿宋_GB2312" w:hint="eastAsia"/>
                <w:sz w:val="22"/>
                <w:szCs w:val="24"/>
              </w:rPr>
              <w:t>类别</w:t>
            </w:r>
          </w:p>
        </w:tc>
        <w:tc>
          <w:tcPr>
            <w:tcW w:w="1701" w:type="dxa"/>
          </w:tcPr>
          <w:p w:rsidR="00077729" w:rsidRPr="00F67596" w:rsidRDefault="00077729" w:rsidP="003E68D9">
            <w:pPr>
              <w:spacing w:line="440" w:lineRule="exact"/>
              <w:jc w:val="center"/>
              <w:rPr>
                <w:rFonts w:ascii="黑体" w:eastAsia="黑体" w:hAnsi="黑体" w:cs="仿宋_GB2312"/>
                <w:sz w:val="22"/>
                <w:szCs w:val="24"/>
              </w:rPr>
            </w:pPr>
            <w:r w:rsidRPr="00F67596">
              <w:rPr>
                <w:rFonts w:ascii="黑体" w:eastAsia="黑体" w:hAnsi="黑体" w:cs="仿宋_GB2312" w:hint="eastAsia"/>
                <w:sz w:val="22"/>
                <w:szCs w:val="24"/>
              </w:rPr>
              <w:t>申请对象</w:t>
            </w:r>
          </w:p>
        </w:tc>
        <w:tc>
          <w:tcPr>
            <w:tcW w:w="1701" w:type="dxa"/>
            <w:vAlign w:val="center"/>
          </w:tcPr>
          <w:p w:rsidR="00077729" w:rsidRPr="00F67596" w:rsidRDefault="00077729" w:rsidP="003E68D9">
            <w:pPr>
              <w:spacing w:line="440" w:lineRule="exact"/>
              <w:jc w:val="center"/>
              <w:rPr>
                <w:rFonts w:ascii="黑体" w:eastAsia="黑体" w:hAnsi="黑体" w:cs="仿宋_GB2312"/>
                <w:sz w:val="22"/>
                <w:szCs w:val="24"/>
              </w:rPr>
            </w:pPr>
            <w:r w:rsidRPr="00F67596">
              <w:rPr>
                <w:rFonts w:ascii="黑体" w:eastAsia="黑体" w:hAnsi="黑体" w:cs="仿宋_GB2312" w:hint="eastAsia"/>
                <w:sz w:val="22"/>
                <w:szCs w:val="24"/>
              </w:rPr>
              <w:t>奖项金额</w:t>
            </w:r>
            <w:r w:rsidR="00F67596">
              <w:rPr>
                <w:rFonts w:ascii="黑体" w:eastAsia="黑体" w:hAnsi="黑体" w:cs="仿宋_GB2312" w:hint="eastAsia"/>
                <w:sz w:val="22"/>
                <w:szCs w:val="24"/>
              </w:rPr>
              <w:t>（元）</w:t>
            </w:r>
          </w:p>
        </w:tc>
        <w:tc>
          <w:tcPr>
            <w:tcW w:w="1702" w:type="dxa"/>
            <w:vAlign w:val="center"/>
          </w:tcPr>
          <w:p w:rsidR="00077729" w:rsidRPr="00F67596" w:rsidRDefault="00077729" w:rsidP="003E68D9">
            <w:pPr>
              <w:spacing w:line="440" w:lineRule="exact"/>
              <w:jc w:val="center"/>
              <w:rPr>
                <w:rFonts w:ascii="黑体" w:eastAsia="黑体" w:hAnsi="黑体" w:cs="仿宋_GB2312"/>
                <w:sz w:val="22"/>
                <w:szCs w:val="24"/>
              </w:rPr>
            </w:pPr>
            <w:r w:rsidRPr="00F67596">
              <w:rPr>
                <w:rFonts w:ascii="黑体" w:eastAsia="黑体" w:hAnsi="黑体" w:cs="仿宋_GB2312" w:hint="eastAsia"/>
                <w:sz w:val="22"/>
                <w:szCs w:val="24"/>
              </w:rPr>
              <w:t>名额</w:t>
            </w:r>
          </w:p>
        </w:tc>
      </w:tr>
      <w:tr w:rsidR="00077729" w:rsidRPr="00034898" w:rsidTr="003E68D9">
        <w:trPr>
          <w:jc w:val="center"/>
        </w:trPr>
        <w:tc>
          <w:tcPr>
            <w:tcW w:w="1700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学业进步奖</w:t>
            </w:r>
          </w:p>
        </w:tc>
        <w:tc>
          <w:tcPr>
            <w:tcW w:w="1701" w:type="dxa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本科生</w:t>
            </w:r>
          </w:p>
        </w:tc>
        <w:tc>
          <w:tcPr>
            <w:tcW w:w="1701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1000</w:t>
            </w:r>
          </w:p>
        </w:tc>
        <w:tc>
          <w:tcPr>
            <w:tcW w:w="1702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≤</w:t>
            </w: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10</w:t>
            </w:r>
          </w:p>
        </w:tc>
      </w:tr>
      <w:tr w:rsidR="00077729" w:rsidRPr="00034898" w:rsidTr="003E68D9">
        <w:trPr>
          <w:jc w:val="center"/>
        </w:trPr>
        <w:tc>
          <w:tcPr>
            <w:tcW w:w="1700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学习标兵奖</w:t>
            </w:r>
          </w:p>
        </w:tc>
        <w:tc>
          <w:tcPr>
            <w:tcW w:w="1701" w:type="dxa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本科生</w:t>
            </w:r>
          </w:p>
        </w:tc>
        <w:tc>
          <w:tcPr>
            <w:tcW w:w="1701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1000</w:t>
            </w:r>
          </w:p>
        </w:tc>
        <w:tc>
          <w:tcPr>
            <w:tcW w:w="1702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≤</w:t>
            </w: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10</w:t>
            </w:r>
          </w:p>
        </w:tc>
      </w:tr>
      <w:tr w:rsidR="00077729" w:rsidRPr="00034898" w:rsidTr="003E68D9">
        <w:trPr>
          <w:jc w:val="center"/>
        </w:trPr>
        <w:tc>
          <w:tcPr>
            <w:tcW w:w="1700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科研达人奖</w:t>
            </w:r>
          </w:p>
        </w:tc>
        <w:tc>
          <w:tcPr>
            <w:tcW w:w="1701" w:type="dxa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本科生</w:t>
            </w:r>
          </w:p>
        </w:tc>
        <w:tc>
          <w:tcPr>
            <w:tcW w:w="1701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1000</w:t>
            </w:r>
          </w:p>
        </w:tc>
        <w:tc>
          <w:tcPr>
            <w:tcW w:w="1702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≤</w:t>
            </w: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5</w:t>
            </w:r>
          </w:p>
        </w:tc>
      </w:tr>
      <w:tr w:rsidR="00077729" w:rsidRPr="00034898" w:rsidTr="003E68D9">
        <w:trPr>
          <w:jc w:val="center"/>
        </w:trPr>
        <w:tc>
          <w:tcPr>
            <w:tcW w:w="1700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研究先锋奖</w:t>
            </w:r>
          </w:p>
        </w:tc>
        <w:tc>
          <w:tcPr>
            <w:tcW w:w="1701" w:type="dxa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研究生</w:t>
            </w:r>
          </w:p>
        </w:tc>
        <w:tc>
          <w:tcPr>
            <w:tcW w:w="1701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1000</w:t>
            </w:r>
          </w:p>
        </w:tc>
        <w:tc>
          <w:tcPr>
            <w:tcW w:w="1702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≤</w:t>
            </w:r>
            <w:r w:rsidRPr="00034898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5</w:t>
            </w:r>
          </w:p>
        </w:tc>
      </w:tr>
      <w:tr w:rsidR="00077729" w:rsidRPr="00034898" w:rsidTr="003E68D9">
        <w:trPr>
          <w:jc w:val="center"/>
        </w:trPr>
        <w:tc>
          <w:tcPr>
            <w:tcW w:w="1700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0F41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学风标兵寝室</w:t>
            </w:r>
          </w:p>
        </w:tc>
        <w:tc>
          <w:tcPr>
            <w:tcW w:w="1701" w:type="dxa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0F41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本科生</w:t>
            </w:r>
            <w:r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、</w:t>
            </w:r>
            <w:r w:rsidRPr="00030F41"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研究生</w:t>
            </w:r>
          </w:p>
        </w:tc>
        <w:tc>
          <w:tcPr>
            <w:tcW w:w="1701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4"/>
              </w:rPr>
              <w:t>300</w:t>
            </w:r>
          </w:p>
        </w:tc>
        <w:tc>
          <w:tcPr>
            <w:tcW w:w="1702" w:type="dxa"/>
            <w:vAlign w:val="center"/>
          </w:tcPr>
          <w:p w:rsidR="00077729" w:rsidRPr="00034898" w:rsidRDefault="00077729" w:rsidP="003E68D9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2"/>
                <w:szCs w:val="24"/>
              </w:rPr>
            </w:pPr>
            <w:r w:rsidRPr="00034898">
              <w:rPr>
                <w:rFonts w:ascii="Times New Roman" w:eastAsia="仿宋_GB2312" w:hAnsi="Times New Roman" w:cs="Times New Roman" w:hint="eastAsia"/>
              </w:rPr>
              <w:t>≤</w:t>
            </w:r>
            <w:r>
              <w:rPr>
                <w:rFonts w:ascii="Times New Roman" w:eastAsia="仿宋_GB2312" w:hAnsi="Times New Roman" w:cs="Times New Roman" w:hint="eastAsia"/>
              </w:rPr>
              <w:t>20</w:t>
            </w:r>
          </w:p>
        </w:tc>
      </w:tr>
    </w:tbl>
    <w:p w:rsidR="00077729" w:rsidRPr="00CF1CF8" w:rsidRDefault="00077729" w:rsidP="007C6C72">
      <w:pPr>
        <w:spacing w:beforeLines="50" w:before="156"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 w:rsidRPr="00F35457">
        <w:rPr>
          <w:rFonts w:ascii="黑体" w:eastAsia="黑体" w:hAnsi="黑体" w:cs="黑体" w:hint="eastAsia"/>
          <w:b/>
          <w:sz w:val="22"/>
          <w:szCs w:val="24"/>
        </w:rPr>
        <w:t>三、评定办法</w:t>
      </w:r>
    </w:p>
    <w:p w:rsidR="00077729" w:rsidRPr="00034898" w:rsidRDefault="00077729" w:rsidP="00077729">
      <w:pPr>
        <w:spacing w:line="440" w:lineRule="exact"/>
        <w:ind w:firstLineChars="200" w:firstLine="440"/>
        <w:rPr>
          <w:rFonts w:ascii="黑体" w:eastAsia="黑体" w:hAnsi="黑体" w:cs="黑体"/>
          <w:sz w:val="22"/>
          <w:szCs w:val="24"/>
        </w:rPr>
      </w:pPr>
      <w:r w:rsidRPr="00034898">
        <w:rPr>
          <w:rFonts w:ascii="黑体" w:eastAsia="黑体" w:hAnsi="黑体" w:cs="黑体" w:hint="eastAsia"/>
          <w:sz w:val="22"/>
          <w:szCs w:val="24"/>
        </w:rPr>
        <w:t>（一）、学业进步奖</w:t>
      </w:r>
    </w:p>
    <w:p w:rsidR="00077729" w:rsidRPr="00034898" w:rsidRDefault="00077729" w:rsidP="00077729">
      <w:pPr>
        <w:spacing w:line="42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面向本科生，上一学期平均学分绩点较累计平均学分绩点进步0.5以上者可以申报，学院将根据申报同学情况择优评选不多于10名同学，每人奖励1000元。</w:t>
      </w:r>
    </w:p>
    <w:p w:rsidR="00077729" w:rsidRPr="00034898" w:rsidRDefault="00077729" w:rsidP="00077729">
      <w:pPr>
        <w:spacing w:line="440" w:lineRule="exact"/>
        <w:ind w:firstLineChars="200" w:firstLine="440"/>
        <w:rPr>
          <w:rFonts w:ascii="黑体" w:eastAsia="黑体" w:hAnsi="黑体" w:cs="黑体"/>
          <w:sz w:val="22"/>
          <w:szCs w:val="24"/>
        </w:rPr>
      </w:pPr>
      <w:r w:rsidRPr="00034898">
        <w:rPr>
          <w:rFonts w:ascii="黑体" w:eastAsia="黑体" w:hAnsi="黑体" w:cs="黑体" w:hint="eastAsia"/>
          <w:sz w:val="22"/>
          <w:szCs w:val="24"/>
        </w:rPr>
        <w:t>（二）、学习标兵奖</w:t>
      </w:r>
    </w:p>
    <w:p w:rsidR="00077729" w:rsidRPr="00034898" w:rsidRDefault="00077729" w:rsidP="00077729">
      <w:pPr>
        <w:spacing w:line="42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面向本科生，学习成绩始终保持专业前茅，每个学期专业排名均在前5%，学院根据申报同学情况择优评选不多于10名同学，每人奖励1000元。</w:t>
      </w:r>
    </w:p>
    <w:p w:rsidR="00077729" w:rsidRPr="00034898" w:rsidRDefault="00077729" w:rsidP="00077729">
      <w:pPr>
        <w:spacing w:line="440" w:lineRule="exact"/>
        <w:ind w:firstLineChars="200" w:firstLine="440"/>
        <w:rPr>
          <w:rFonts w:ascii="黑体" w:eastAsia="黑体" w:hAnsi="黑体" w:cs="黑体"/>
          <w:sz w:val="22"/>
          <w:szCs w:val="24"/>
        </w:rPr>
      </w:pPr>
      <w:r w:rsidRPr="00034898">
        <w:rPr>
          <w:rFonts w:ascii="黑体" w:eastAsia="黑体" w:hAnsi="黑体" w:cs="黑体" w:hint="eastAsia"/>
          <w:sz w:val="22"/>
          <w:szCs w:val="24"/>
        </w:rPr>
        <w:t>（三）、科研达人奖</w:t>
      </w:r>
    </w:p>
    <w:p w:rsidR="00077729" w:rsidRDefault="00077729" w:rsidP="00077729">
      <w:pPr>
        <w:spacing w:line="42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面向本科生，奖励在市级及以上的科创竞赛中获奖，或在学术期刊上公开发表论文，或拥有发明或实用新型专利者，学院将根据申报情况，评选不多于5名同学，每人奖励1000元。</w:t>
      </w:r>
    </w:p>
    <w:p w:rsidR="00077729" w:rsidRPr="00034898" w:rsidRDefault="00077729" w:rsidP="007C6C72">
      <w:pPr>
        <w:spacing w:line="420" w:lineRule="exact"/>
        <w:rPr>
          <w:rFonts w:ascii="仿宋_GB2312" w:eastAsia="仿宋_GB2312" w:hAnsi="仿宋_GB2312" w:cs="仿宋_GB2312"/>
          <w:sz w:val="22"/>
          <w:szCs w:val="24"/>
        </w:rPr>
      </w:pPr>
    </w:p>
    <w:p w:rsidR="00077729" w:rsidRPr="00034898" w:rsidRDefault="00077729" w:rsidP="00077729">
      <w:pPr>
        <w:spacing w:line="440" w:lineRule="exact"/>
        <w:ind w:firstLineChars="200" w:firstLine="440"/>
        <w:rPr>
          <w:rFonts w:ascii="黑体" w:eastAsia="黑体" w:hAnsi="黑体" w:cs="黑体"/>
          <w:sz w:val="22"/>
          <w:szCs w:val="24"/>
        </w:rPr>
      </w:pPr>
      <w:r w:rsidRPr="00034898">
        <w:rPr>
          <w:rFonts w:ascii="黑体" w:eastAsia="黑体" w:hAnsi="黑体" w:cs="黑体" w:hint="eastAsia"/>
          <w:sz w:val="22"/>
          <w:szCs w:val="24"/>
        </w:rPr>
        <w:lastRenderedPageBreak/>
        <w:t>（四）、研究先锋奖</w:t>
      </w:r>
    </w:p>
    <w:p w:rsidR="00077729" w:rsidRDefault="00077729" w:rsidP="00077729">
      <w:pPr>
        <w:spacing w:line="42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面向研究生，评选条件与当年研究生国家奖学金要求一致，与国家奖学金不可兼得，择优评选，评选人数不多于5名，每人奖励1000元。</w:t>
      </w:r>
    </w:p>
    <w:p w:rsidR="00077729" w:rsidRPr="006C303B" w:rsidRDefault="00077729" w:rsidP="00077729">
      <w:pPr>
        <w:spacing w:line="440" w:lineRule="exact"/>
        <w:ind w:firstLineChars="200" w:firstLine="440"/>
        <w:rPr>
          <w:rFonts w:ascii="黑体" w:eastAsia="黑体" w:hAnsi="黑体" w:cs="黑体"/>
          <w:sz w:val="22"/>
          <w:szCs w:val="24"/>
        </w:rPr>
      </w:pPr>
      <w:r w:rsidRPr="006C303B">
        <w:rPr>
          <w:rFonts w:ascii="黑体" w:eastAsia="黑体" w:hAnsi="黑体" w:cs="黑体" w:hint="eastAsia"/>
          <w:sz w:val="22"/>
          <w:szCs w:val="24"/>
        </w:rPr>
        <w:t>（五）、学风标兵寝室</w:t>
      </w:r>
    </w:p>
    <w:p w:rsidR="00077729" w:rsidRPr="00B55415" w:rsidRDefault="00077729" w:rsidP="00077729">
      <w:pPr>
        <w:spacing w:line="42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6C303B">
        <w:rPr>
          <w:rFonts w:ascii="仿宋_GB2312" w:eastAsia="仿宋_GB2312" w:hAnsi="仿宋_GB2312" w:cs="仿宋_GB2312" w:hint="eastAsia"/>
          <w:sz w:val="22"/>
          <w:szCs w:val="24"/>
        </w:rPr>
        <w:t>面向本科生和研究生，以寝室为单位申请，评选条件与当年学校百间“学风标兵寝室”一致，择优评选，</w:t>
      </w:r>
      <w:r w:rsidRPr="00511122">
        <w:rPr>
          <w:rFonts w:ascii="仿宋_GB2312" w:eastAsia="仿宋_GB2312" w:hAnsi="仿宋_GB2312" w:cs="仿宋_GB2312" w:hint="eastAsia"/>
          <w:sz w:val="22"/>
          <w:szCs w:val="24"/>
        </w:rPr>
        <w:t>评选量不超过</w:t>
      </w:r>
      <w:r w:rsidRPr="00511122">
        <w:rPr>
          <w:rFonts w:ascii="仿宋_GB2312" w:eastAsia="仿宋_GB2312" w:hAnsi="仿宋_GB2312" w:cs="仿宋_GB2312"/>
          <w:sz w:val="22"/>
          <w:szCs w:val="24"/>
        </w:rPr>
        <w:t>20</w:t>
      </w:r>
      <w:r w:rsidRPr="00511122">
        <w:rPr>
          <w:rFonts w:ascii="仿宋_GB2312" w:eastAsia="仿宋_GB2312" w:hAnsi="仿宋_GB2312" w:cs="仿宋_GB2312" w:hint="eastAsia"/>
          <w:sz w:val="22"/>
          <w:szCs w:val="24"/>
        </w:rPr>
        <w:t>间，每间奖励</w:t>
      </w:r>
      <w:r w:rsidRPr="00511122">
        <w:rPr>
          <w:rFonts w:ascii="仿宋_GB2312" w:eastAsia="仿宋_GB2312" w:hAnsi="仿宋_GB2312" w:cs="仿宋_GB2312"/>
          <w:sz w:val="22"/>
          <w:szCs w:val="24"/>
        </w:rPr>
        <w:t>3</w:t>
      </w:r>
      <w:r w:rsidRPr="00511122">
        <w:rPr>
          <w:rFonts w:ascii="仿宋_GB2312" w:eastAsia="仿宋_GB2312" w:hAnsi="仿宋_GB2312" w:cs="仿宋_GB2312" w:hint="eastAsia"/>
          <w:sz w:val="22"/>
          <w:szCs w:val="24"/>
        </w:rPr>
        <w:t>00元</w:t>
      </w:r>
      <w:r w:rsidRPr="006C303B">
        <w:rPr>
          <w:rFonts w:ascii="仿宋_GB2312" w:eastAsia="仿宋_GB2312" w:hAnsi="仿宋_GB2312" w:cs="仿宋_GB2312" w:hint="eastAsia"/>
          <w:sz w:val="22"/>
          <w:szCs w:val="24"/>
        </w:rPr>
        <w:t>。</w:t>
      </w:r>
    </w:p>
    <w:p w:rsidR="00077729" w:rsidRPr="00034898" w:rsidRDefault="00077729" w:rsidP="00077729">
      <w:pPr>
        <w:spacing w:line="42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034898">
        <w:rPr>
          <w:rFonts w:ascii="仿宋_GB2312" w:eastAsia="仿宋_GB2312" w:hAnsi="仿宋_GB2312" w:cs="仿宋_GB2312" w:hint="eastAsia"/>
          <w:sz w:val="22"/>
          <w:szCs w:val="24"/>
        </w:rPr>
        <w:t>以上奖学金由学生自愿申报，四个奖项不可兼得，申请表格</w:t>
      </w:r>
      <w:r w:rsidR="007C6C72">
        <w:rPr>
          <w:rFonts w:ascii="仿宋_GB2312" w:eastAsia="仿宋_GB2312" w:hAnsi="仿宋_GB2312" w:cs="仿宋_GB2312" w:hint="eastAsia"/>
          <w:sz w:val="22"/>
          <w:szCs w:val="24"/>
        </w:rPr>
        <w:t>见附件</w:t>
      </w:r>
      <w:r w:rsidRPr="00034898">
        <w:rPr>
          <w:rFonts w:ascii="仿宋_GB2312" w:eastAsia="仿宋_GB2312" w:hAnsi="仿宋_GB2312" w:cs="仿宋_GB2312" w:hint="eastAsia"/>
          <w:sz w:val="22"/>
          <w:szCs w:val="24"/>
        </w:rPr>
        <w:t>。</w:t>
      </w:r>
    </w:p>
    <w:p w:rsidR="00077729" w:rsidRPr="00034898" w:rsidRDefault="00077729" w:rsidP="00077729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四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、评</w:t>
      </w:r>
      <w:r>
        <w:rPr>
          <w:rFonts w:ascii="黑体" w:eastAsia="黑体" w:hAnsi="黑体" w:cs="黑体" w:hint="eastAsia"/>
          <w:b/>
          <w:sz w:val="22"/>
          <w:szCs w:val="24"/>
        </w:rPr>
        <w:t>审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及发放</w:t>
      </w:r>
    </w:p>
    <w:p w:rsidR="00077729" w:rsidRPr="00B55415" w:rsidRDefault="00077729" w:rsidP="00077729">
      <w:pPr>
        <w:spacing w:line="420" w:lineRule="exact"/>
        <w:ind w:firstLineChars="200" w:firstLine="440"/>
        <w:rPr>
          <w:rFonts w:ascii="仿宋_GB2312" w:eastAsia="仿宋_GB2312" w:hAnsi="仿宋_GB2312" w:cs="仿宋_GB2312"/>
          <w:sz w:val="22"/>
          <w:szCs w:val="24"/>
        </w:rPr>
      </w:pPr>
      <w:r w:rsidRPr="00B55415">
        <w:rPr>
          <w:rFonts w:ascii="仿宋_GB2312" w:eastAsia="仿宋_GB2312" w:hAnsi="仿宋_GB2312" w:cs="仿宋_GB2312" w:hint="eastAsia"/>
          <w:sz w:val="22"/>
          <w:szCs w:val="24"/>
        </w:rPr>
        <w:t>奖学金评</w:t>
      </w:r>
      <w:r>
        <w:rPr>
          <w:rFonts w:ascii="仿宋_GB2312" w:eastAsia="仿宋_GB2312" w:hAnsi="仿宋_GB2312" w:cs="仿宋_GB2312" w:hint="eastAsia"/>
          <w:sz w:val="22"/>
          <w:szCs w:val="24"/>
        </w:rPr>
        <w:t>审</w:t>
      </w:r>
      <w:r w:rsidRPr="00B55415">
        <w:rPr>
          <w:rFonts w:ascii="仿宋_GB2312" w:eastAsia="仿宋_GB2312" w:hAnsi="仿宋_GB2312" w:cs="仿宋_GB2312" w:hint="eastAsia"/>
          <w:sz w:val="22"/>
          <w:szCs w:val="24"/>
        </w:rPr>
        <w:t>要做到公正客观、公平合理、公开民主。由学院下发奖学金种类、名额、评定标准和细则，经学生申请、评定小组评审、网上公示，报学校基金会办公室备案。</w:t>
      </w:r>
    </w:p>
    <w:p w:rsidR="00077729" w:rsidRPr="00034898" w:rsidRDefault="00077729" w:rsidP="00077729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五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、附则</w:t>
      </w:r>
    </w:p>
    <w:p w:rsidR="00ED5AE1" w:rsidRPr="00077729" w:rsidRDefault="00077729" w:rsidP="00077729">
      <w:pPr>
        <w:ind w:firstLineChars="200" w:firstLine="440"/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本条例自发布之日起实施，由上海理工大学环境与建筑学院负责解释。</w:t>
      </w:r>
    </w:p>
    <w:sectPr w:rsidR="00ED5AE1" w:rsidRPr="00077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E62" w:rsidRDefault="005B6E62" w:rsidP="006C303B">
      <w:r>
        <w:separator/>
      </w:r>
    </w:p>
  </w:endnote>
  <w:endnote w:type="continuationSeparator" w:id="0">
    <w:p w:rsidR="005B6E62" w:rsidRDefault="005B6E62" w:rsidP="006C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E62" w:rsidRDefault="005B6E62" w:rsidP="006C303B">
      <w:r>
        <w:separator/>
      </w:r>
    </w:p>
  </w:footnote>
  <w:footnote w:type="continuationSeparator" w:id="0">
    <w:p w:rsidR="005B6E62" w:rsidRDefault="005B6E62" w:rsidP="006C3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31"/>
    <w:rsid w:val="00064149"/>
    <w:rsid w:val="00077729"/>
    <w:rsid w:val="001C77E3"/>
    <w:rsid w:val="001F5CAF"/>
    <w:rsid w:val="0022289C"/>
    <w:rsid w:val="00235998"/>
    <w:rsid w:val="0024459D"/>
    <w:rsid w:val="003F4F56"/>
    <w:rsid w:val="00412640"/>
    <w:rsid w:val="004D6E31"/>
    <w:rsid w:val="004E1AE9"/>
    <w:rsid w:val="00500FD8"/>
    <w:rsid w:val="00504264"/>
    <w:rsid w:val="005B6E62"/>
    <w:rsid w:val="005F1ADC"/>
    <w:rsid w:val="006C303B"/>
    <w:rsid w:val="006D6BE1"/>
    <w:rsid w:val="007139E6"/>
    <w:rsid w:val="00765677"/>
    <w:rsid w:val="0077301B"/>
    <w:rsid w:val="007C6C72"/>
    <w:rsid w:val="007D2E72"/>
    <w:rsid w:val="007E12F4"/>
    <w:rsid w:val="007F4D44"/>
    <w:rsid w:val="0083772A"/>
    <w:rsid w:val="00846B51"/>
    <w:rsid w:val="00860FE6"/>
    <w:rsid w:val="008C6993"/>
    <w:rsid w:val="009570BE"/>
    <w:rsid w:val="00A04E5F"/>
    <w:rsid w:val="00A35417"/>
    <w:rsid w:val="00A637AF"/>
    <w:rsid w:val="00AA40DF"/>
    <w:rsid w:val="00AF5BF8"/>
    <w:rsid w:val="00B21A31"/>
    <w:rsid w:val="00BF34AC"/>
    <w:rsid w:val="00C901E1"/>
    <w:rsid w:val="00CB1D39"/>
    <w:rsid w:val="00CE6275"/>
    <w:rsid w:val="00D46781"/>
    <w:rsid w:val="00D66999"/>
    <w:rsid w:val="00DD56A2"/>
    <w:rsid w:val="00ED5AE1"/>
    <w:rsid w:val="00F03C89"/>
    <w:rsid w:val="00F42089"/>
    <w:rsid w:val="00F67596"/>
    <w:rsid w:val="00F955C7"/>
    <w:rsid w:val="00FE29FA"/>
    <w:rsid w:val="00FF645E"/>
    <w:rsid w:val="11A76A8B"/>
    <w:rsid w:val="20540BD6"/>
    <w:rsid w:val="22034E83"/>
    <w:rsid w:val="24606898"/>
    <w:rsid w:val="2A631CFF"/>
    <w:rsid w:val="40711DD5"/>
    <w:rsid w:val="545E2AEE"/>
    <w:rsid w:val="5DFF2F9E"/>
    <w:rsid w:val="74BA0FF2"/>
    <w:rsid w:val="7828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2607B"/>
  <w15:docId w15:val="{D97D002C-0FC7-4953-85D0-CF50226D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f14b1">
    <w:name w:val="f14b1"/>
    <w:rPr>
      <w:b/>
      <w:bCs/>
      <w:sz w:val="21"/>
      <w:szCs w:val="21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THTF</cp:lastModifiedBy>
  <cp:revision>33</cp:revision>
  <dcterms:created xsi:type="dcterms:W3CDTF">2019-08-30T06:01:00Z</dcterms:created>
  <dcterms:modified xsi:type="dcterms:W3CDTF">2019-10-12T05:38:00Z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